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rPr>
          <w:rFonts w:hint="default" w:ascii="Times New Roman" w:hAnsi="Times New Roman" w:cs="Times New Roman"/>
        </w:rPr>
      </w:pPr>
      <w:r>
        <w:rPr>
          <w:rFonts w:hint="default" w:ascii="Times New Roman" w:hAnsi="Times New Roman" w:cs="Times New Roman"/>
        </w:rPr>
        <w:t>附件9  应急处置卡</w:t>
      </w:r>
    </w:p>
    <w:p>
      <w:pPr>
        <w:keepNext w:val="0"/>
        <w:keepLines w:val="0"/>
        <w:pageBreakBefore w:val="0"/>
        <w:widowControl w:val="0"/>
        <w:kinsoku/>
        <w:wordWrap/>
        <w:overflowPunct/>
        <w:topLinePunct w:val="0"/>
        <w:autoSpaceDE w:val="0"/>
        <w:autoSpaceDN w:val="0"/>
        <w:bidi w:val="0"/>
        <w:adjustRightInd/>
        <w:snapToGrid/>
        <w:spacing w:before="0" w:after="0"/>
        <w:ind w:left="0" w:right="0" w:firstLine="0"/>
        <w:jc w:val="center"/>
        <w:textAlignment w:val="auto"/>
        <w:rPr>
          <w:b/>
          <w:sz w:val="28"/>
        </w:rPr>
      </w:pPr>
      <w:r>
        <w:rPr>
          <w:rFonts w:hint="eastAsia"/>
          <w:b/>
          <w:sz w:val="28"/>
          <w:lang w:eastAsia="zh-CN"/>
        </w:rPr>
        <w:t>油类物质泄漏</w:t>
      </w:r>
      <w:r>
        <w:rPr>
          <w:b/>
          <w:sz w:val="28"/>
        </w:rPr>
        <w:t>事件应急处置卡</w:t>
      </w:r>
    </w:p>
    <w:tbl>
      <w:tblPr>
        <w:tblStyle w:val="9"/>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65"/>
        <w:gridCol w:w="818"/>
        <w:gridCol w:w="1849"/>
        <w:gridCol w:w="48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460" w:type="pct"/>
            <w:vMerge w:val="restart"/>
          </w:tcPr>
          <w:p>
            <w:pPr>
              <w:bidi w:val="0"/>
              <w:rPr>
                <w:rFonts w:hint="default" w:ascii="Times New Roman" w:hAnsi="Times New Roman" w:cs="Times New Roman"/>
                <w:b/>
                <w:bCs/>
              </w:rPr>
            </w:pPr>
          </w:p>
          <w:p>
            <w:pPr>
              <w:bidi w:val="0"/>
              <w:rPr>
                <w:rFonts w:hint="default" w:ascii="Times New Roman" w:hAnsi="Times New Roman" w:cs="Times New Roman"/>
                <w:b/>
                <w:bCs/>
              </w:rPr>
            </w:pPr>
            <w:r>
              <w:rPr>
                <w:rFonts w:hint="default" w:ascii="Times New Roman" w:hAnsi="Times New Roman" w:cs="Times New Roman"/>
                <w:b/>
                <w:bCs/>
              </w:rPr>
              <w:t>事故风险描述</w:t>
            </w:r>
          </w:p>
        </w:tc>
        <w:tc>
          <w:tcPr>
            <w:tcW w:w="1604" w:type="pct"/>
            <w:gridSpan w:val="2"/>
          </w:tcPr>
          <w:p>
            <w:pPr>
              <w:bidi w:val="0"/>
              <w:rPr>
                <w:rFonts w:hint="default" w:ascii="Times New Roman" w:hAnsi="Times New Roman" w:cs="Times New Roman"/>
                <w:b w:val="0"/>
                <w:bCs w:val="0"/>
              </w:rPr>
            </w:pPr>
            <w:r>
              <w:rPr>
                <w:rFonts w:hint="default" w:ascii="Times New Roman" w:hAnsi="Times New Roman" w:cs="Times New Roman"/>
                <w:b w:val="0"/>
                <w:bCs w:val="0"/>
              </w:rPr>
              <w:t>事故类型</w:t>
            </w:r>
          </w:p>
        </w:tc>
        <w:tc>
          <w:tcPr>
            <w:tcW w:w="2935" w:type="pct"/>
          </w:tcPr>
          <w:p>
            <w:pPr>
              <w:bidi w:val="0"/>
              <w:rPr>
                <w:rFonts w:hint="default" w:ascii="Times New Roman" w:hAnsi="Times New Roman" w:cs="Times New Roman"/>
                <w:b w:val="0"/>
                <w:bCs w:val="0"/>
              </w:rPr>
            </w:pPr>
            <w:r>
              <w:rPr>
                <w:rFonts w:hint="default" w:ascii="Times New Roman" w:hAnsi="Times New Roman" w:cs="Times New Roman"/>
                <w:b w:val="0"/>
                <w:bCs w:val="0"/>
                <w:lang w:eastAsia="zh-CN"/>
              </w:rPr>
              <w:t>油类</w:t>
            </w:r>
            <w:r>
              <w:rPr>
                <w:rFonts w:hint="default" w:ascii="Times New Roman" w:hAnsi="Times New Roman" w:cs="Times New Roman"/>
                <w:b w:val="0"/>
                <w:bCs w:val="0"/>
              </w:rPr>
              <w:t>泄漏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jc w:val="center"/>
        </w:trPr>
        <w:tc>
          <w:tcPr>
            <w:tcW w:w="460" w:type="pct"/>
            <w:vMerge w:val="continue"/>
            <w:tcBorders>
              <w:top w:val="nil"/>
            </w:tcBorders>
          </w:tcPr>
          <w:p>
            <w:pPr>
              <w:bidi w:val="0"/>
              <w:rPr>
                <w:rFonts w:hint="default" w:ascii="Times New Roman" w:hAnsi="Times New Roman" w:cs="Times New Roman"/>
                <w:b/>
                <w:bCs/>
              </w:rPr>
            </w:pPr>
          </w:p>
        </w:tc>
        <w:tc>
          <w:tcPr>
            <w:tcW w:w="492" w:type="pct"/>
          </w:tcPr>
          <w:p>
            <w:pPr>
              <w:bidi w:val="0"/>
              <w:rPr>
                <w:rFonts w:hint="default" w:ascii="Times New Roman" w:hAnsi="Times New Roman" w:cs="Times New Roman"/>
                <w:b/>
                <w:bCs/>
              </w:rPr>
            </w:pPr>
          </w:p>
          <w:p>
            <w:pPr>
              <w:bidi w:val="0"/>
              <w:jc w:val="center"/>
              <w:rPr>
                <w:rFonts w:hint="default" w:ascii="Times New Roman" w:hAnsi="Times New Roman" w:cs="Times New Roman"/>
                <w:b/>
                <w:bCs/>
              </w:rPr>
            </w:pPr>
            <w:r>
              <w:rPr>
                <w:rFonts w:hint="default" w:ascii="Times New Roman" w:hAnsi="Times New Roman" w:cs="Times New Roman"/>
                <w:b/>
                <w:bCs/>
              </w:rPr>
              <w:t>事故</w:t>
            </w:r>
          </w:p>
          <w:p>
            <w:pPr>
              <w:bidi w:val="0"/>
              <w:jc w:val="center"/>
              <w:rPr>
                <w:rFonts w:hint="default" w:ascii="Times New Roman" w:hAnsi="Times New Roman" w:cs="Times New Roman"/>
                <w:b/>
                <w:bCs/>
              </w:rPr>
            </w:pPr>
            <w:r>
              <w:rPr>
                <w:rFonts w:hint="default" w:ascii="Times New Roman" w:hAnsi="Times New Roman" w:cs="Times New Roman"/>
                <w:b/>
                <w:bCs/>
              </w:rPr>
              <w:t>风险</w:t>
            </w:r>
          </w:p>
        </w:tc>
        <w:tc>
          <w:tcPr>
            <w:tcW w:w="4047" w:type="pct"/>
            <w:gridSpan w:val="2"/>
          </w:tcPr>
          <w:p>
            <w:pPr>
              <w:bidi w:val="0"/>
              <w:rPr>
                <w:rFonts w:hint="default" w:ascii="Times New Roman" w:hAnsi="Times New Roman" w:cs="Times New Roman"/>
              </w:rPr>
            </w:pPr>
            <w:r>
              <w:rPr>
                <w:rFonts w:hint="default" w:ascii="Times New Roman" w:hAnsi="Times New Roman" w:cs="Times New Roman"/>
              </w:rPr>
              <w:t>废油存储现场具有刺激性气味，小量小面积泄漏，可能带来火灾、环境污染；若出现大面积或大量油品泄漏，可能直接造成人员不良反应、财产损失，环境污染，遇明火可能造成火灾爆炸，可能引起废油储存周边人员伤亡、环境污染、财产损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jc w:val="center"/>
        </w:trPr>
        <w:tc>
          <w:tcPr>
            <w:tcW w:w="460" w:type="pct"/>
          </w:tcPr>
          <w:p>
            <w:pPr>
              <w:bidi w:val="0"/>
              <w:rPr>
                <w:rFonts w:hint="default" w:ascii="Times New Roman" w:hAnsi="Times New Roman" w:cs="Times New Roman"/>
                <w:b/>
                <w:bCs/>
              </w:rPr>
            </w:pPr>
            <w:r>
              <w:rPr>
                <w:rFonts w:hint="default" w:ascii="Times New Roman" w:hAnsi="Times New Roman" w:cs="Times New Roman"/>
                <w:b/>
                <w:bCs/>
              </w:rPr>
              <w:t>岗位人员职责</w:t>
            </w:r>
          </w:p>
        </w:tc>
        <w:tc>
          <w:tcPr>
            <w:tcW w:w="4539" w:type="pct"/>
            <w:gridSpan w:val="3"/>
          </w:tcPr>
          <w:p>
            <w:pPr>
              <w:bidi w:val="0"/>
              <w:rPr>
                <w:rFonts w:hint="default" w:ascii="Times New Roman" w:hAnsi="Times New Roman" w:cs="Times New Roman"/>
              </w:rPr>
            </w:pPr>
            <w:r>
              <w:rPr>
                <w:rFonts w:hint="default" w:ascii="Times New Roman" w:hAnsi="Times New Roman" w:cs="Times New Roman"/>
              </w:rPr>
              <w:t>岗位人员承担报警和现场应急处置的职责。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460" w:type="pct"/>
            <w:vMerge w:val="restart"/>
          </w:tcPr>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rPr>
            </w:pPr>
            <w:r>
              <w:rPr>
                <w:rFonts w:hint="default" w:ascii="Times New Roman" w:hAnsi="Times New Roman" w:cs="Times New Roman"/>
                <w:b/>
                <w:bCs/>
              </w:rPr>
              <w:t>应急</w:t>
            </w:r>
          </w:p>
          <w:p>
            <w:pPr>
              <w:keepNext w:val="0"/>
              <w:keepLines w:val="0"/>
              <w:pageBreakBefore w:val="0"/>
              <w:widowControl w:val="0"/>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rPr>
            </w:pPr>
            <w:r>
              <w:rPr>
                <w:rFonts w:hint="default" w:ascii="Times New Roman" w:hAnsi="Times New Roman" w:cs="Times New Roman"/>
                <w:b/>
                <w:bCs/>
              </w:rPr>
              <w:t>处置</w:t>
            </w:r>
          </w:p>
        </w:tc>
        <w:tc>
          <w:tcPr>
            <w:tcW w:w="4539" w:type="pct"/>
            <w:gridSpan w:val="3"/>
          </w:tcPr>
          <w:p>
            <w:pPr>
              <w:keepNext w:val="0"/>
              <w:keepLines w:val="0"/>
              <w:pageBreakBefore w:val="0"/>
              <w:widowControl w:val="0"/>
              <w:kinsoku/>
              <w:wordWrap/>
              <w:overflowPunct/>
              <w:topLinePunct w:val="0"/>
              <w:autoSpaceDE w:val="0"/>
              <w:autoSpaceDN w:val="0"/>
              <w:bidi w:val="0"/>
              <w:adjustRightInd/>
              <w:snapToGrid/>
              <w:jc w:val="both"/>
              <w:textAlignment w:val="auto"/>
              <w:rPr>
                <w:rFonts w:hint="default" w:ascii="Times New Roman" w:hAnsi="Times New Roman" w:cs="Times New Roman"/>
              </w:rPr>
            </w:pPr>
            <w:r>
              <w:rPr>
                <w:rFonts w:hint="default" w:ascii="Times New Roman" w:hAnsi="Times New Roman" w:cs="Times New Roman"/>
                <w:b/>
                <w:bCs/>
              </w:rPr>
              <w:t>应急处置程序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4" w:hRule="atLeast"/>
          <w:jc w:val="center"/>
        </w:trPr>
        <w:tc>
          <w:tcPr>
            <w:tcW w:w="460" w:type="pct"/>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rFonts w:hint="default" w:ascii="Times New Roman" w:hAnsi="Times New Roman" w:cs="Times New Roman"/>
                <w:b/>
                <w:bCs/>
              </w:rPr>
            </w:pPr>
          </w:p>
        </w:tc>
        <w:tc>
          <w:tcPr>
            <w:tcW w:w="4539" w:type="pct"/>
            <w:gridSpan w:val="3"/>
          </w:tcPr>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发现泄漏时应根据现场情况作出判断，是否可迅速采取措施控制并报告主管。</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rPr>
              <w:t>泄漏比较严重时，现场人员立即报告主管、部门分管领导、安全专职及安全环保部应急班组。</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现场人员立即启动现场应急处置方案，组织开展应急救援，防止事故扩大，减少环境污染、人员伤害和财产损失。</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供应管理部根据现场情况，确认是否需要扩大应急，请求上一级支援。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460" w:type="pct"/>
            <w:vMerge w:val="continue"/>
            <w:tcBorders>
              <w:top w:val="nil"/>
            </w:tcBorders>
          </w:tcPr>
          <w:p>
            <w:pPr>
              <w:bidi w:val="0"/>
              <w:rPr>
                <w:rFonts w:hint="default" w:ascii="Times New Roman" w:hAnsi="Times New Roman" w:cs="Times New Roman"/>
                <w:b/>
                <w:bCs/>
              </w:rPr>
            </w:pPr>
          </w:p>
        </w:tc>
        <w:tc>
          <w:tcPr>
            <w:tcW w:w="4539" w:type="pct"/>
            <w:gridSpan w:val="3"/>
          </w:tcPr>
          <w:p>
            <w:pPr>
              <w:bidi w:val="0"/>
              <w:rPr>
                <w:rFonts w:hint="default" w:ascii="Times New Roman" w:hAnsi="Times New Roman" w:cs="Times New Roman"/>
              </w:rPr>
            </w:pPr>
            <w:r>
              <w:rPr>
                <w:rFonts w:hint="default" w:ascii="Times New Roman" w:hAnsi="Times New Roman" w:cs="Times New Roman"/>
                <w:b/>
                <w:bCs/>
              </w:rPr>
              <w:t>现场应急处置措施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4" w:hRule="atLeast"/>
          <w:jc w:val="center"/>
        </w:trPr>
        <w:tc>
          <w:tcPr>
            <w:tcW w:w="460" w:type="pct"/>
            <w:vMerge w:val="continue"/>
            <w:tcBorders>
              <w:top w:val="nil"/>
            </w:tcBorders>
          </w:tcPr>
          <w:p>
            <w:pPr>
              <w:bidi w:val="0"/>
              <w:rPr>
                <w:rFonts w:hint="default" w:ascii="Times New Roman" w:hAnsi="Times New Roman" w:cs="Times New Roman"/>
                <w:b/>
                <w:bCs/>
              </w:rPr>
            </w:pPr>
          </w:p>
        </w:tc>
        <w:tc>
          <w:tcPr>
            <w:tcW w:w="4539" w:type="pct"/>
            <w:gridSpan w:val="3"/>
          </w:tcPr>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rPr>
              <w:t>发现泄漏时：及时组织在岗人员穿戴好个人防护用品、进行堵漏回收。</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首先尽快找到桶装废油泄漏点，根据泄漏的情况采用不同的处理办法。</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rPr>
              <w:t>少量溢出时，先用棉纱、沙进行对溢流出的废油进行及时处理。</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较大面积泄漏时，及时采用围堵，并及时对泄漏出的废油用避免污染面积进一步扩散，使用围油槽对油污进行控制，防止扩散，并使用油桶收集。</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通过废油存储室的围堰，尽快用完好的油桶回收泄漏的废油，防止进入水体、下水道或限制性空间，然后收集、转移、回收、禁止进入排污系统。</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rPr>
              <w:t>如储存的油桶发生泄漏，可通过完好的油桶倒罐转移尚未泄漏的废油。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60" w:type="pct"/>
          </w:tcPr>
          <w:p>
            <w:pPr>
              <w:bidi w:val="0"/>
              <w:rPr>
                <w:rFonts w:hint="default" w:ascii="Times New Roman" w:hAnsi="Times New Roman" w:cs="Times New Roman"/>
                <w:b/>
                <w:bCs/>
              </w:rPr>
            </w:pPr>
          </w:p>
          <w:p>
            <w:pPr>
              <w:bidi w:val="0"/>
              <w:rPr>
                <w:rFonts w:hint="default" w:ascii="Times New Roman" w:hAnsi="Times New Roman" w:cs="Times New Roman"/>
                <w:b/>
                <w:bCs/>
              </w:rPr>
            </w:pPr>
          </w:p>
          <w:p>
            <w:pPr>
              <w:bidi w:val="0"/>
              <w:rPr>
                <w:rFonts w:hint="default" w:ascii="Times New Roman" w:hAnsi="Times New Roman" w:cs="Times New Roman"/>
                <w:b/>
                <w:bCs/>
              </w:rPr>
            </w:pPr>
          </w:p>
          <w:p>
            <w:pPr>
              <w:bidi w:val="0"/>
              <w:jc w:val="center"/>
              <w:rPr>
                <w:rFonts w:hint="default" w:ascii="Times New Roman" w:hAnsi="Times New Roman" w:cs="Times New Roman"/>
                <w:b/>
                <w:bCs/>
              </w:rPr>
            </w:pPr>
            <w:r>
              <w:rPr>
                <w:rFonts w:hint="default" w:ascii="Times New Roman" w:hAnsi="Times New Roman" w:cs="Times New Roman"/>
                <w:b/>
                <w:bCs/>
              </w:rPr>
              <w:t>注意</w:t>
            </w:r>
          </w:p>
          <w:p>
            <w:pPr>
              <w:bidi w:val="0"/>
              <w:jc w:val="center"/>
              <w:rPr>
                <w:rFonts w:hint="default" w:ascii="Times New Roman" w:hAnsi="Times New Roman" w:cs="Times New Roman"/>
                <w:b/>
                <w:bCs/>
              </w:rPr>
            </w:pPr>
            <w:r>
              <w:rPr>
                <w:rFonts w:hint="default" w:ascii="Times New Roman" w:hAnsi="Times New Roman" w:cs="Times New Roman"/>
                <w:b/>
                <w:bCs/>
              </w:rPr>
              <w:t>事项</w:t>
            </w:r>
          </w:p>
        </w:tc>
        <w:tc>
          <w:tcPr>
            <w:tcW w:w="4539" w:type="pct"/>
            <w:gridSpan w:val="3"/>
          </w:tcPr>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严禁带火种进入废油储存室。</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rPr>
              <w:t>进入废油储存室，必须佩戴防毒面具。</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废油在转移过程中严禁发生泄漏及泼洒现象，若出现应及时进行清理及回收。</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储存场所要防雨、防晒、防火、防盗，地面硬化，有防扬散、防流失、防渗漏措施。</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5、</w:t>
            </w:r>
            <w:r>
              <w:rPr>
                <w:rFonts w:hint="default" w:ascii="Times New Roman" w:hAnsi="Times New Roman" w:cs="Times New Roman"/>
              </w:rPr>
              <w:t>不相容的废油必须分开存放。</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6、</w:t>
            </w:r>
            <w:r>
              <w:rPr>
                <w:rFonts w:hint="default" w:ascii="Times New Roman" w:hAnsi="Times New Roman" w:cs="Times New Roman"/>
              </w:rPr>
              <w:t>做好废油储存台账管理及标识。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7" w:hRule="atLeast"/>
          <w:jc w:val="center"/>
        </w:trPr>
        <w:tc>
          <w:tcPr>
            <w:tcW w:w="5000" w:type="pct"/>
            <w:gridSpan w:val="4"/>
          </w:tcPr>
          <w:p>
            <w:pPr>
              <w:spacing w:line="380" w:lineRule="exact"/>
              <w:rPr>
                <w:rFonts w:hint="default" w:ascii="Times New Roman" w:hAnsi="Times New Roman" w:cs="Times New Roman"/>
              </w:rPr>
            </w:pPr>
            <w:r>
              <w:rPr>
                <w:rFonts w:hint="default" w:ascii="Times New Roman" w:hAnsi="Times New Roman" w:cs="Times New Roman"/>
              </w:rPr>
              <w:t>应急总指挥：朱绍荣</w:t>
            </w:r>
            <w:r>
              <w:rPr>
                <w:rFonts w:hint="default" w:ascii="Times New Roman" w:hAnsi="Times New Roman" w:cs="Times New Roman"/>
                <w:lang w:val="en-US" w:eastAsia="zh-CN"/>
              </w:rPr>
              <w:t xml:space="preserve"> </w:t>
            </w:r>
            <w:r>
              <w:rPr>
                <w:rFonts w:hint="default" w:ascii="Times New Roman" w:hAnsi="Times New Roman" w:cs="Times New Roman"/>
              </w:rPr>
              <w:t>13988932996</w:t>
            </w:r>
          </w:p>
          <w:p>
            <w:pPr>
              <w:bidi w:val="0"/>
              <w:rPr>
                <w:rFonts w:hint="default" w:ascii="Times New Roman" w:hAnsi="Times New Roman" w:cs="Times New Roman"/>
              </w:rPr>
            </w:pPr>
            <w:r>
              <w:rPr>
                <w:rFonts w:hint="default" w:ascii="Times New Roman" w:hAnsi="Times New Roman" w:cs="Times New Roman"/>
                <w:lang w:eastAsia="zh-CN"/>
              </w:rPr>
              <w:t>现场处置</w:t>
            </w:r>
            <w:r>
              <w:rPr>
                <w:rFonts w:hint="default" w:ascii="Times New Roman" w:hAnsi="Times New Roman" w:cs="Times New Roman"/>
              </w:rPr>
              <w:t>组组长：</w:t>
            </w:r>
            <w:r>
              <w:rPr>
                <w:rFonts w:hint="default" w:ascii="Times New Roman" w:hAnsi="Times New Roman" w:cs="Times New Roman"/>
                <w:lang w:eastAsia="zh-CN"/>
              </w:rPr>
              <w:t>王立坤</w:t>
            </w:r>
            <w:r>
              <w:rPr>
                <w:rFonts w:hint="default" w:ascii="Times New Roman" w:hAnsi="Times New Roman" w:cs="Times New Roman"/>
              </w:rPr>
              <w:t xml:space="preserve"> </w:t>
            </w:r>
            <w:r>
              <w:rPr>
                <w:rFonts w:hint="default" w:ascii="Times New Roman" w:hAnsi="Times New Roman" w:eastAsia="仿宋" w:cs="Times New Roman"/>
                <w:sz w:val="21"/>
                <w:szCs w:val="21"/>
                <w:lang w:val="en-US" w:eastAsia="zh-CN"/>
              </w:rPr>
              <w:t>13887429703</w:t>
            </w:r>
          </w:p>
          <w:p>
            <w:pPr>
              <w:bidi w:val="0"/>
              <w:rPr>
                <w:rFonts w:hint="default" w:ascii="Times New Roman" w:hAnsi="Times New Roman" w:cs="Times New Roman"/>
              </w:rPr>
            </w:pPr>
            <w:r>
              <w:rPr>
                <w:rFonts w:hint="default" w:ascii="Times New Roman" w:hAnsi="Times New Roman" w:cs="Times New Roman"/>
                <w:lang w:eastAsia="zh-CN"/>
              </w:rPr>
              <w:t>罗平</w:t>
            </w:r>
            <w:r>
              <w:rPr>
                <w:rFonts w:hint="default" w:ascii="Times New Roman" w:hAnsi="Times New Roman" w:cs="Times New Roman"/>
              </w:rPr>
              <w:t>县人民政府：</w:t>
            </w:r>
            <w:r>
              <w:rPr>
                <w:rFonts w:hint="default" w:ascii="Times New Roman" w:hAnsi="Times New Roman" w:eastAsia="仿宋" w:cs="Times New Roman"/>
                <w:b w:val="0"/>
                <w:bCs/>
                <w:sz w:val="21"/>
                <w:szCs w:val="21"/>
              </w:rPr>
              <w:t>0874-8212210</w:t>
            </w:r>
          </w:p>
          <w:p>
            <w:pPr>
              <w:bidi w:val="0"/>
              <w:rPr>
                <w:rFonts w:hint="default" w:ascii="Times New Roman" w:hAnsi="Times New Roman" w:cs="Times New Roman"/>
              </w:rPr>
            </w:pPr>
            <w:r>
              <w:rPr>
                <w:rFonts w:hint="default" w:ascii="Times New Roman" w:hAnsi="Times New Roman" w:cs="Times New Roman"/>
                <w:lang w:eastAsia="zh-CN"/>
              </w:rPr>
              <w:t>曲靖</w:t>
            </w:r>
            <w:r>
              <w:rPr>
                <w:rFonts w:hint="default" w:ascii="Times New Roman" w:hAnsi="Times New Roman" w:cs="Times New Roman"/>
              </w:rPr>
              <w:t>市生态环境局</w:t>
            </w:r>
            <w:r>
              <w:rPr>
                <w:rFonts w:hint="default" w:ascii="Times New Roman" w:hAnsi="Times New Roman" w:cs="Times New Roman"/>
                <w:lang w:eastAsia="zh-CN"/>
              </w:rPr>
              <w:t>罗平</w:t>
            </w:r>
            <w:r>
              <w:rPr>
                <w:rFonts w:hint="default" w:ascii="Times New Roman" w:hAnsi="Times New Roman" w:cs="Times New Roman"/>
              </w:rPr>
              <w:t>分局：</w:t>
            </w:r>
            <w:r>
              <w:rPr>
                <w:rFonts w:hint="default" w:ascii="Times New Roman" w:hAnsi="Times New Roman" w:eastAsia="仿宋" w:cs="Times New Roman"/>
                <w:b w:val="0"/>
                <w:bCs/>
                <w:sz w:val="21"/>
                <w:szCs w:val="21"/>
              </w:rPr>
              <w:t>0874</w:t>
            </w:r>
            <w:r>
              <w:rPr>
                <w:rFonts w:hint="default" w:ascii="Times New Roman" w:hAnsi="Times New Roman" w:eastAsia="仿宋" w:cs="Times New Roman"/>
                <w:b w:val="0"/>
                <w:bCs/>
                <w:sz w:val="21"/>
                <w:szCs w:val="21"/>
                <w:lang w:val="en-US" w:eastAsia="zh-CN"/>
              </w:rPr>
              <w:t>-</w:t>
            </w:r>
            <w:r>
              <w:rPr>
                <w:rFonts w:hint="default" w:ascii="Times New Roman" w:hAnsi="Times New Roman" w:cs="Times New Roman"/>
                <w:b w:val="0"/>
                <w:bCs/>
                <w:sz w:val="21"/>
                <w:szCs w:val="21"/>
                <w:lang w:val="en-US" w:eastAsia="zh-CN"/>
              </w:rPr>
              <w:t>8215683</w:t>
            </w:r>
          </w:p>
          <w:p>
            <w:pPr>
              <w:bidi w:val="0"/>
              <w:rPr>
                <w:rFonts w:hint="default" w:ascii="Times New Roman" w:hAnsi="Times New Roman" w:cs="Times New Roman"/>
              </w:rPr>
            </w:pPr>
            <w:r>
              <w:rPr>
                <w:rFonts w:hint="default" w:ascii="Times New Roman" w:hAnsi="Times New Roman" w:cs="Times New Roman"/>
                <w:lang w:eastAsia="zh-CN"/>
              </w:rPr>
              <w:t>罗平</w:t>
            </w:r>
            <w:r>
              <w:rPr>
                <w:rFonts w:hint="default" w:ascii="Times New Roman" w:hAnsi="Times New Roman" w:cs="Times New Roman"/>
              </w:rPr>
              <w:t>县应急管理局：</w:t>
            </w:r>
            <w:r>
              <w:rPr>
                <w:rFonts w:hint="default" w:ascii="Times New Roman" w:hAnsi="Times New Roman" w:eastAsia="仿宋" w:cs="Times New Roman"/>
                <w:b w:val="0"/>
                <w:bCs/>
                <w:sz w:val="21"/>
                <w:szCs w:val="21"/>
              </w:rPr>
              <w:t>0874-8212289</w:t>
            </w:r>
          </w:p>
        </w:tc>
      </w:tr>
    </w:tbl>
    <w:p>
      <w:pPr>
        <w:ind w:left="0" w:leftChars="0" w:firstLine="0" w:firstLineChars="0"/>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val="0"/>
        <w:autoSpaceDN w:val="0"/>
        <w:bidi w:val="0"/>
        <w:adjustRightInd/>
        <w:snapToGrid/>
        <w:spacing w:before="0" w:after="0"/>
        <w:ind w:left="0" w:right="0" w:firstLine="0"/>
        <w:jc w:val="center"/>
        <w:textAlignment w:val="auto"/>
        <w:rPr>
          <w:rFonts w:hint="eastAsia"/>
          <w:b/>
          <w:sz w:val="28"/>
          <w:lang w:eastAsia="zh-CN"/>
        </w:rPr>
      </w:pPr>
      <w:r>
        <w:rPr>
          <w:rFonts w:hint="eastAsia"/>
          <w:b/>
          <w:sz w:val="28"/>
          <w:lang w:eastAsia="zh-CN"/>
        </w:rPr>
        <w:t>火灾事件应急处置卡</w:t>
      </w:r>
    </w:p>
    <w:tbl>
      <w:tblPr>
        <w:tblStyle w:val="9"/>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65"/>
        <w:gridCol w:w="816"/>
        <w:gridCol w:w="1850"/>
        <w:gridCol w:w="48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460" w:type="pct"/>
            <w:vMerge w:val="restart"/>
          </w:tcPr>
          <w:p>
            <w:pPr>
              <w:bidi w:val="0"/>
              <w:rPr>
                <w:b/>
                <w:bCs/>
              </w:rPr>
            </w:pPr>
          </w:p>
          <w:p>
            <w:pPr>
              <w:bidi w:val="0"/>
              <w:rPr>
                <w:b/>
                <w:bCs/>
              </w:rPr>
            </w:pPr>
            <w:r>
              <w:rPr>
                <w:b/>
                <w:bCs/>
              </w:rPr>
              <w:t>事故风险描述</w:t>
            </w:r>
          </w:p>
        </w:tc>
        <w:tc>
          <w:tcPr>
            <w:tcW w:w="1604" w:type="pct"/>
            <w:gridSpan w:val="2"/>
          </w:tcPr>
          <w:p>
            <w:pPr>
              <w:bidi w:val="0"/>
              <w:rPr>
                <w:b w:val="0"/>
                <w:bCs w:val="0"/>
              </w:rPr>
            </w:pPr>
            <w:r>
              <w:rPr>
                <w:b w:val="0"/>
                <w:bCs w:val="0"/>
              </w:rPr>
              <w:t>事故类型</w:t>
            </w:r>
          </w:p>
        </w:tc>
        <w:tc>
          <w:tcPr>
            <w:tcW w:w="2935" w:type="pct"/>
          </w:tcPr>
          <w:p>
            <w:pPr>
              <w:bidi w:val="0"/>
              <w:rPr>
                <w:rFonts w:hint="eastAsia" w:eastAsia="仿宋"/>
                <w:b w:val="0"/>
                <w:bCs w:val="0"/>
                <w:lang w:eastAsia="zh-CN"/>
              </w:rPr>
            </w:pPr>
            <w:r>
              <w:rPr>
                <w:rFonts w:hint="eastAsia"/>
                <w:b w:val="0"/>
                <w:bCs w:val="0"/>
                <w:lang w:eastAsia="zh-CN"/>
              </w:rPr>
              <w:t>油类泄漏、厂区线路老化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jc w:val="center"/>
        </w:trPr>
        <w:tc>
          <w:tcPr>
            <w:tcW w:w="460" w:type="pct"/>
            <w:vMerge w:val="continue"/>
            <w:tcBorders>
              <w:top w:val="nil"/>
            </w:tcBorders>
          </w:tcPr>
          <w:p>
            <w:pPr>
              <w:bidi w:val="0"/>
              <w:rPr>
                <w:b/>
                <w:bCs/>
              </w:rPr>
            </w:pPr>
          </w:p>
        </w:tc>
        <w:tc>
          <w:tcPr>
            <w:tcW w:w="491" w:type="pct"/>
          </w:tcPr>
          <w:p>
            <w:pPr>
              <w:bidi w:val="0"/>
              <w:rPr>
                <w:b/>
                <w:bCs/>
              </w:rPr>
            </w:pPr>
          </w:p>
          <w:p>
            <w:pPr>
              <w:bidi w:val="0"/>
              <w:jc w:val="center"/>
              <w:rPr>
                <w:b/>
                <w:bCs/>
              </w:rPr>
            </w:pPr>
            <w:r>
              <w:rPr>
                <w:b/>
                <w:bCs/>
              </w:rPr>
              <w:t>事故</w:t>
            </w:r>
          </w:p>
          <w:p>
            <w:pPr>
              <w:bidi w:val="0"/>
              <w:jc w:val="center"/>
              <w:rPr>
                <w:b/>
                <w:bCs/>
              </w:rPr>
            </w:pPr>
            <w:r>
              <w:rPr>
                <w:b/>
                <w:bCs/>
              </w:rPr>
              <w:t>风险</w:t>
            </w:r>
          </w:p>
        </w:tc>
        <w:tc>
          <w:tcPr>
            <w:tcW w:w="4048" w:type="pct"/>
            <w:gridSpan w:val="2"/>
          </w:tcPr>
          <w:p>
            <w:pPr>
              <w:bidi w:val="0"/>
            </w:pPr>
            <w:r>
              <w:t>废油存储现场具有刺激性气味，小量小面积泄漏，可能带来火灾、环境污染；</w:t>
            </w:r>
            <w:r>
              <w:rPr>
                <w:rFonts w:hint="default" w:ascii="Times New Roman" w:hAnsi="Times New Roman" w:cs="Times New Roman"/>
                <w:lang w:val="en-US" w:eastAsia="zh-CN"/>
              </w:rPr>
              <w:t>站内电线老化也有可能导致发生火灾</w:t>
            </w:r>
            <w:r>
              <w:t>，遇明火可能造成火灾爆炸，可能引起</w:t>
            </w:r>
            <w:r>
              <w:rPr>
                <w:rFonts w:hint="eastAsia"/>
                <w:lang w:eastAsia="zh-CN"/>
              </w:rPr>
              <w:t>电厂</w:t>
            </w:r>
            <w:r>
              <w:t>周边人员伤亡、环境污染、财产损失。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jc w:val="center"/>
        </w:trPr>
        <w:tc>
          <w:tcPr>
            <w:tcW w:w="460" w:type="pct"/>
          </w:tcPr>
          <w:p>
            <w:pPr>
              <w:bidi w:val="0"/>
              <w:rPr>
                <w:b/>
                <w:bCs/>
              </w:rPr>
            </w:pPr>
            <w:r>
              <w:rPr>
                <w:b/>
                <w:bCs/>
              </w:rPr>
              <w:t>岗位人员职责</w:t>
            </w:r>
          </w:p>
        </w:tc>
        <w:tc>
          <w:tcPr>
            <w:tcW w:w="4539" w:type="pct"/>
            <w:gridSpan w:val="3"/>
            <w:vAlign w:val="center"/>
          </w:tcPr>
          <w:p>
            <w:pPr>
              <w:bidi w:val="0"/>
              <w:jc w:val="both"/>
            </w:pPr>
            <w:r>
              <w:t>岗位人员承担报警和现场应急处置的职责。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460" w:type="pct"/>
            <w:vMerge w:val="restart"/>
          </w:tcPr>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b/>
                <w:bCs/>
              </w:rPr>
            </w:pPr>
          </w:p>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b/>
                <w:bCs/>
              </w:rPr>
            </w:pPr>
          </w:p>
          <w:p>
            <w:pPr>
              <w:keepNext w:val="0"/>
              <w:keepLines w:val="0"/>
              <w:pageBreakBefore w:val="0"/>
              <w:widowControl w:val="0"/>
              <w:kinsoku/>
              <w:wordWrap/>
              <w:overflowPunct/>
              <w:topLinePunct w:val="0"/>
              <w:autoSpaceDE w:val="0"/>
              <w:autoSpaceDN w:val="0"/>
              <w:bidi w:val="0"/>
              <w:adjustRightInd/>
              <w:snapToGrid/>
              <w:ind w:firstLine="0" w:firstLineChars="0"/>
              <w:jc w:val="center"/>
              <w:textAlignment w:val="auto"/>
              <w:rPr>
                <w:b/>
                <w:bCs/>
              </w:rPr>
            </w:pPr>
            <w:r>
              <w:rPr>
                <w:b/>
                <w:bCs/>
              </w:rPr>
              <w:t>应急</w:t>
            </w:r>
          </w:p>
          <w:p>
            <w:pPr>
              <w:keepNext w:val="0"/>
              <w:keepLines w:val="0"/>
              <w:pageBreakBefore w:val="0"/>
              <w:widowControl w:val="0"/>
              <w:kinsoku/>
              <w:wordWrap/>
              <w:overflowPunct/>
              <w:topLinePunct w:val="0"/>
              <w:autoSpaceDE w:val="0"/>
              <w:autoSpaceDN w:val="0"/>
              <w:bidi w:val="0"/>
              <w:adjustRightInd/>
              <w:snapToGrid/>
              <w:ind w:firstLine="0" w:firstLineChars="0"/>
              <w:jc w:val="center"/>
              <w:textAlignment w:val="auto"/>
              <w:rPr>
                <w:b/>
                <w:bCs/>
              </w:rPr>
            </w:pPr>
            <w:r>
              <w:rPr>
                <w:b/>
                <w:bCs/>
              </w:rPr>
              <w:t>处置</w:t>
            </w:r>
          </w:p>
        </w:tc>
        <w:tc>
          <w:tcPr>
            <w:tcW w:w="4539" w:type="pct"/>
            <w:gridSpan w:val="3"/>
          </w:tcPr>
          <w:p>
            <w:pPr>
              <w:keepNext w:val="0"/>
              <w:keepLines w:val="0"/>
              <w:pageBreakBefore w:val="0"/>
              <w:widowControl w:val="0"/>
              <w:kinsoku/>
              <w:wordWrap/>
              <w:overflowPunct/>
              <w:topLinePunct w:val="0"/>
              <w:autoSpaceDE w:val="0"/>
              <w:autoSpaceDN w:val="0"/>
              <w:bidi w:val="0"/>
              <w:adjustRightInd/>
              <w:snapToGrid/>
              <w:jc w:val="both"/>
              <w:textAlignment w:val="auto"/>
            </w:pPr>
            <w:r>
              <w:rPr>
                <w:b/>
                <w:bCs/>
              </w:rPr>
              <w:t>应急处置程序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4" w:hRule="atLeast"/>
          <w:jc w:val="center"/>
        </w:trPr>
        <w:tc>
          <w:tcPr>
            <w:tcW w:w="460" w:type="pct"/>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firstLine="442" w:firstLineChars="200"/>
              <w:jc w:val="both"/>
              <w:textAlignment w:val="auto"/>
              <w:rPr>
                <w:b/>
                <w:bCs/>
              </w:rPr>
            </w:pPr>
          </w:p>
        </w:tc>
        <w:tc>
          <w:tcPr>
            <w:tcW w:w="4539" w:type="pct"/>
            <w:gridSpan w:val="3"/>
          </w:tcPr>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发现</w:t>
            </w:r>
            <w:r>
              <w:rPr>
                <w:rFonts w:hint="eastAsia" w:ascii="Times New Roman" w:hAnsi="Times New Roman" w:cs="Times New Roman"/>
                <w:lang w:eastAsia="zh-CN"/>
              </w:rPr>
              <w:t>火灾</w:t>
            </w:r>
            <w:r>
              <w:rPr>
                <w:rFonts w:hint="default" w:ascii="Times New Roman" w:hAnsi="Times New Roman" w:cs="Times New Roman"/>
              </w:rPr>
              <w:t>时应根据现场情况作出判断，是否可迅速采取措施控制并报告主管。</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2、</w:t>
            </w:r>
            <w:r>
              <w:rPr>
                <w:rFonts w:hint="eastAsia" w:ascii="Times New Roman" w:hAnsi="Times New Roman" w:cs="Times New Roman"/>
                <w:lang w:eastAsia="zh-CN"/>
              </w:rPr>
              <w:t>火灾</w:t>
            </w:r>
            <w:r>
              <w:rPr>
                <w:rFonts w:hint="default" w:ascii="Times New Roman" w:hAnsi="Times New Roman" w:cs="Times New Roman"/>
              </w:rPr>
              <w:t>比较严重时，现场人员立即报告主管、部门分管领导、安全专职及安全环保部应急班组。</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现场人员立即启动现场应急处置方案，组织开展应急救援，防止事故扩大，减少环境污染、人员伤害和财产损失。</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供应管理部根据现场情况，确认是否需要扩大应急，请求上一级支援。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460" w:type="pct"/>
            <w:vMerge w:val="continue"/>
            <w:tcBorders>
              <w:top w:val="nil"/>
            </w:tcBorders>
          </w:tcPr>
          <w:p>
            <w:pPr>
              <w:bidi w:val="0"/>
              <w:rPr>
                <w:b/>
                <w:bCs/>
              </w:rPr>
            </w:pPr>
          </w:p>
        </w:tc>
        <w:tc>
          <w:tcPr>
            <w:tcW w:w="4539" w:type="pct"/>
            <w:gridSpan w:val="3"/>
          </w:tcPr>
          <w:p>
            <w:pPr>
              <w:bidi w:val="0"/>
            </w:pPr>
            <w:r>
              <w:rPr>
                <w:b/>
                <w:bCs/>
              </w:rPr>
              <w:t>现场应急处置措施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4" w:hRule="atLeast"/>
          <w:jc w:val="center"/>
        </w:trPr>
        <w:tc>
          <w:tcPr>
            <w:tcW w:w="460" w:type="pct"/>
            <w:vMerge w:val="continue"/>
            <w:tcBorders>
              <w:top w:val="nil"/>
            </w:tcBorders>
          </w:tcPr>
          <w:p>
            <w:pPr>
              <w:bidi w:val="0"/>
              <w:rPr>
                <w:b/>
                <w:bCs/>
              </w:rPr>
            </w:pPr>
          </w:p>
        </w:tc>
        <w:tc>
          <w:tcPr>
            <w:tcW w:w="4539" w:type="pct"/>
            <w:gridSpan w:val="3"/>
          </w:tcPr>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发现</w:t>
            </w:r>
            <w:r>
              <w:rPr>
                <w:rFonts w:hint="eastAsia" w:ascii="Times New Roman" w:hAnsi="Times New Roman" w:cs="Times New Roman"/>
                <w:lang w:val="en-US" w:eastAsia="zh-CN"/>
              </w:rPr>
              <w:t>火灾</w:t>
            </w:r>
            <w:r>
              <w:rPr>
                <w:rFonts w:hint="default" w:ascii="Times New Roman" w:hAnsi="Times New Roman" w:cs="Times New Roman"/>
                <w:lang w:val="en-US" w:eastAsia="zh-CN"/>
              </w:rPr>
              <w:t>时：及时组织在岗人员穿戴好个人防护用品、进行</w:t>
            </w:r>
            <w:r>
              <w:rPr>
                <w:rFonts w:hint="eastAsia" w:ascii="Times New Roman" w:hAnsi="Times New Roman" w:cs="Times New Roman"/>
                <w:lang w:val="en-US" w:eastAsia="zh-CN"/>
              </w:rPr>
              <w:t>疏散救援</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（1）及时转移火灾临近区域的危险化学品。</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（2）发现火灾的人员及抢险人员在保证人身安全的情况下要迅速进行应急灭火抢险。</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（3）发生火灾后，应立即报警并截断电源，打开大门，清理消防通道，维持火灾现场秩序，以便消防抢险人员赶到时能迅速进行灭火作业。</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（4）火灾扑救方法：火灾发生后，不要惊慌，利用现场现有的灭火工具进行灭火；如果烟雾较大，一定要用手绢或者毛巾等吸水物品，吸水后捂住口鼻，然后再进行灭火。</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（5）疏散时应迅速离开工作岗位，切勿奔跑，切勿因收拾个人物品而延误疏散。在许可的情况下，离开前检查所有仪器和设备的电源是否关闭。切勿在未得到许可的情况下重返火灾现场。</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pPr>
            <w:r>
              <w:rPr>
                <w:rFonts w:hint="eastAsia" w:ascii="Times New Roman" w:hAnsi="Times New Roman" w:cs="Times New Roman"/>
                <w:lang w:val="en-US" w:eastAsia="zh-CN"/>
              </w:rPr>
              <w:t>（6）受伤者的紧急救护：窒息人员、轻度中毒者需抬至空气畅通的上风处，并给以新鲜空气或氧气呼吸，可采取口对口呼吸。心脏停止跳动者，可施以心脏挤压法救护。外伤人员可清洗创伤部位，然后进行包扎止血处理。烧伤者严禁水洗，要防止创伤面扩大。伤</w:t>
            </w:r>
            <w:bookmarkStart w:id="0" w:name="_GoBack"/>
            <w:bookmarkEnd w:id="0"/>
            <w:r>
              <w:rPr>
                <w:rFonts w:hint="eastAsia" w:ascii="Times New Roman" w:hAnsi="Times New Roman" w:cs="Times New Roman"/>
                <w:lang w:val="en-US" w:eastAsia="zh-CN"/>
              </w:rPr>
              <w:t>情严重者立即送医院治疗。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60" w:type="pct"/>
          </w:tcPr>
          <w:p>
            <w:pPr>
              <w:bidi w:val="0"/>
              <w:rPr>
                <w:b/>
                <w:bCs/>
              </w:rPr>
            </w:pPr>
          </w:p>
          <w:p>
            <w:pPr>
              <w:bidi w:val="0"/>
              <w:rPr>
                <w:b/>
                <w:bCs/>
              </w:rPr>
            </w:pPr>
          </w:p>
          <w:p>
            <w:pPr>
              <w:bidi w:val="0"/>
              <w:rPr>
                <w:b/>
                <w:bCs/>
              </w:rPr>
            </w:pPr>
          </w:p>
          <w:p>
            <w:pPr>
              <w:bidi w:val="0"/>
              <w:jc w:val="center"/>
              <w:rPr>
                <w:b/>
                <w:bCs/>
              </w:rPr>
            </w:pPr>
            <w:r>
              <w:rPr>
                <w:b/>
                <w:bCs/>
              </w:rPr>
              <w:t>注意</w:t>
            </w:r>
          </w:p>
          <w:p>
            <w:pPr>
              <w:bidi w:val="0"/>
              <w:jc w:val="center"/>
              <w:rPr>
                <w:b/>
                <w:bCs/>
              </w:rPr>
            </w:pPr>
            <w:r>
              <w:rPr>
                <w:b/>
                <w:bCs/>
              </w:rPr>
              <w:t>事项</w:t>
            </w:r>
          </w:p>
        </w:tc>
        <w:tc>
          <w:tcPr>
            <w:tcW w:w="4539" w:type="pct"/>
            <w:gridSpan w:val="3"/>
          </w:tcPr>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pPr>
            <w:r>
              <w:rPr>
                <w:rFonts w:hint="eastAsia"/>
                <w:lang w:val="en-US" w:eastAsia="zh-CN"/>
              </w:rPr>
              <w:t>1、</w:t>
            </w:r>
            <w:r>
              <w:t>严禁带火种进入废油储存室。</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pPr>
            <w:r>
              <w:rPr>
                <w:rFonts w:hint="eastAsia"/>
                <w:lang w:val="en-US" w:eastAsia="zh-CN"/>
              </w:rPr>
              <w:t>2、</w:t>
            </w:r>
            <w:r>
              <w:t>废油在转移过程中严禁发生泄漏及泼洒现象，若出现应及时进行清理及回收。</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pPr>
            <w:r>
              <w:rPr>
                <w:rFonts w:hint="eastAsia"/>
                <w:lang w:val="en-US" w:eastAsia="zh-CN"/>
              </w:rPr>
              <w:t>3、</w:t>
            </w:r>
            <w:r>
              <w:t>储存场所要防雨、防晒、防火、防盗，地面硬化，有防扬散、防流失、防渗漏措施。</w:t>
            </w:r>
          </w:p>
          <w:p>
            <w:pPr>
              <w:keepNext w:val="0"/>
              <w:keepLines w:val="0"/>
              <w:pageBreakBefore w:val="0"/>
              <w:widowControl w:val="0"/>
              <w:kinsoku/>
              <w:wordWrap/>
              <w:overflowPunct/>
              <w:topLinePunct w:val="0"/>
              <w:autoSpaceDE w:val="0"/>
              <w:autoSpaceDN w:val="0"/>
              <w:bidi w:val="0"/>
              <w:adjustRightInd/>
              <w:snapToGrid/>
              <w:ind w:firstLine="440" w:firstLineChars="200"/>
              <w:jc w:val="both"/>
              <w:textAlignment w:val="auto"/>
            </w:pPr>
            <w:r>
              <w:rPr>
                <w:rFonts w:hint="eastAsia"/>
                <w:lang w:val="en-US" w:eastAsia="zh-CN"/>
              </w:rPr>
              <w:t>4、</w:t>
            </w:r>
            <w:r>
              <w:rPr>
                <w:rFonts w:hint="eastAsia"/>
                <w:lang w:eastAsia="zh-CN"/>
              </w:rPr>
              <w:t>定期检修厂内线路</w:t>
            </w:r>
            <w: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7" w:hRule="atLeast"/>
          <w:jc w:val="center"/>
        </w:trPr>
        <w:tc>
          <w:tcPr>
            <w:tcW w:w="5000" w:type="pct"/>
            <w:gridSpan w:val="4"/>
          </w:tcPr>
          <w:p>
            <w:pPr>
              <w:spacing w:line="380" w:lineRule="exact"/>
              <w:rPr>
                <w:rFonts w:hint="default" w:ascii="Times New Roman" w:hAnsi="Times New Roman" w:cs="Times New Roman"/>
              </w:rPr>
            </w:pPr>
            <w:r>
              <w:rPr>
                <w:rFonts w:hint="default" w:ascii="Times New Roman" w:hAnsi="Times New Roman" w:cs="Times New Roman"/>
              </w:rPr>
              <w:t>应急总指挥：朱绍荣</w:t>
            </w:r>
            <w:r>
              <w:rPr>
                <w:rFonts w:hint="default" w:ascii="Times New Roman" w:hAnsi="Times New Roman" w:cs="Times New Roman"/>
                <w:lang w:val="en-US" w:eastAsia="zh-CN"/>
              </w:rPr>
              <w:t xml:space="preserve"> </w:t>
            </w:r>
            <w:r>
              <w:rPr>
                <w:rFonts w:hint="default" w:ascii="Times New Roman" w:hAnsi="Times New Roman" w:cs="Times New Roman"/>
              </w:rPr>
              <w:t>13988932996</w:t>
            </w:r>
          </w:p>
          <w:p>
            <w:pPr>
              <w:bidi w:val="0"/>
              <w:rPr>
                <w:rFonts w:hint="default" w:ascii="Times New Roman" w:hAnsi="Times New Roman" w:cs="Times New Roman"/>
              </w:rPr>
            </w:pPr>
            <w:r>
              <w:rPr>
                <w:rFonts w:hint="eastAsia" w:ascii="Times New Roman" w:hAnsi="Times New Roman" w:cs="Times New Roman"/>
                <w:lang w:eastAsia="zh-CN"/>
              </w:rPr>
              <w:t>现场处置</w:t>
            </w:r>
            <w:r>
              <w:rPr>
                <w:rFonts w:hint="default" w:ascii="Times New Roman" w:hAnsi="Times New Roman" w:cs="Times New Roman"/>
              </w:rPr>
              <w:t>组组长：</w:t>
            </w:r>
            <w:r>
              <w:rPr>
                <w:rFonts w:hint="default" w:ascii="Times New Roman" w:hAnsi="Times New Roman" w:cs="Times New Roman"/>
                <w:lang w:eastAsia="zh-CN"/>
              </w:rPr>
              <w:t>王立坤</w:t>
            </w:r>
            <w:r>
              <w:rPr>
                <w:rFonts w:hint="default" w:ascii="Times New Roman" w:hAnsi="Times New Roman" w:cs="Times New Roman"/>
              </w:rPr>
              <w:t xml:space="preserve"> </w:t>
            </w:r>
            <w:r>
              <w:rPr>
                <w:rFonts w:hint="default" w:ascii="Times New Roman" w:hAnsi="Times New Roman" w:eastAsia="仿宋" w:cs="Times New Roman"/>
                <w:sz w:val="21"/>
                <w:szCs w:val="21"/>
                <w:lang w:val="en-US" w:eastAsia="zh-CN"/>
              </w:rPr>
              <w:t>13887429703</w:t>
            </w:r>
          </w:p>
          <w:p>
            <w:pPr>
              <w:bidi w:val="0"/>
              <w:rPr>
                <w:rFonts w:hint="default" w:ascii="Times New Roman" w:hAnsi="Times New Roman" w:cs="Times New Roman"/>
              </w:rPr>
            </w:pPr>
            <w:r>
              <w:rPr>
                <w:rFonts w:hint="default" w:ascii="Times New Roman" w:hAnsi="Times New Roman" w:cs="Times New Roman"/>
                <w:lang w:eastAsia="zh-CN"/>
              </w:rPr>
              <w:t>罗平</w:t>
            </w:r>
            <w:r>
              <w:rPr>
                <w:rFonts w:hint="default" w:ascii="Times New Roman" w:hAnsi="Times New Roman" w:cs="Times New Roman"/>
              </w:rPr>
              <w:t>县人民政府：</w:t>
            </w:r>
            <w:r>
              <w:rPr>
                <w:rFonts w:hint="default" w:ascii="Times New Roman" w:hAnsi="Times New Roman" w:eastAsia="仿宋" w:cs="Times New Roman"/>
                <w:b w:val="0"/>
                <w:bCs/>
                <w:sz w:val="21"/>
                <w:szCs w:val="21"/>
              </w:rPr>
              <w:t>0874-8212210</w:t>
            </w:r>
          </w:p>
          <w:p>
            <w:pPr>
              <w:bidi w:val="0"/>
              <w:rPr>
                <w:rFonts w:hint="default" w:ascii="Times New Roman" w:hAnsi="Times New Roman" w:cs="Times New Roman"/>
              </w:rPr>
            </w:pPr>
            <w:r>
              <w:rPr>
                <w:rFonts w:hint="default" w:ascii="Times New Roman" w:hAnsi="Times New Roman" w:cs="Times New Roman"/>
                <w:lang w:eastAsia="zh-CN"/>
              </w:rPr>
              <w:t>曲靖</w:t>
            </w:r>
            <w:r>
              <w:rPr>
                <w:rFonts w:hint="default" w:ascii="Times New Roman" w:hAnsi="Times New Roman" w:cs="Times New Roman"/>
              </w:rPr>
              <w:t>市生态环境局</w:t>
            </w:r>
            <w:r>
              <w:rPr>
                <w:rFonts w:hint="default" w:ascii="Times New Roman" w:hAnsi="Times New Roman" w:cs="Times New Roman"/>
                <w:lang w:eastAsia="zh-CN"/>
              </w:rPr>
              <w:t>罗平</w:t>
            </w:r>
            <w:r>
              <w:rPr>
                <w:rFonts w:hint="default" w:ascii="Times New Roman" w:hAnsi="Times New Roman" w:cs="Times New Roman"/>
              </w:rPr>
              <w:t>分局：</w:t>
            </w:r>
            <w:r>
              <w:rPr>
                <w:rFonts w:hint="default" w:ascii="Times New Roman" w:hAnsi="Times New Roman" w:eastAsia="仿宋" w:cs="Times New Roman"/>
                <w:b w:val="0"/>
                <w:bCs/>
                <w:sz w:val="21"/>
                <w:szCs w:val="21"/>
              </w:rPr>
              <w:t>0874</w:t>
            </w:r>
            <w:r>
              <w:rPr>
                <w:rFonts w:hint="default" w:ascii="Times New Roman" w:hAnsi="Times New Roman" w:eastAsia="仿宋" w:cs="Times New Roman"/>
                <w:b w:val="0"/>
                <w:bCs/>
                <w:sz w:val="21"/>
                <w:szCs w:val="21"/>
                <w:lang w:val="en-US" w:eastAsia="zh-CN"/>
              </w:rPr>
              <w:t>-</w:t>
            </w:r>
            <w:r>
              <w:rPr>
                <w:rFonts w:hint="default" w:ascii="Times New Roman" w:hAnsi="Times New Roman" w:cs="Times New Roman"/>
                <w:b w:val="0"/>
                <w:bCs/>
                <w:sz w:val="21"/>
                <w:szCs w:val="21"/>
                <w:lang w:val="en-US" w:eastAsia="zh-CN"/>
              </w:rPr>
              <w:t>8215683</w:t>
            </w:r>
          </w:p>
          <w:p>
            <w:pPr>
              <w:bidi w:val="0"/>
            </w:pPr>
            <w:r>
              <w:rPr>
                <w:rFonts w:hint="default" w:ascii="Times New Roman" w:hAnsi="Times New Roman" w:cs="Times New Roman"/>
                <w:lang w:eastAsia="zh-CN"/>
              </w:rPr>
              <w:t>罗平</w:t>
            </w:r>
            <w:r>
              <w:rPr>
                <w:rFonts w:hint="default" w:ascii="Times New Roman" w:hAnsi="Times New Roman" w:cs="Times New Roman"/>
              </w:rPr>
              <w:t>县应急管理局：</w:t>
            </w:r>
            <w:r>
              <w:rPr>
                <w:rFonts w:hint="default" w:ascii="Times New Roman" w:hAnsi="Times New Roman" w:eastAsia="仿宋" w:cs="Times New Roman"/>
                <w:b w:val="0"/>
                <w:bCs/>
                <w:sz w:val="21"/>
                <w:szCs w:val="21"/>
              </w:rPr>
              <w:t>0874-8212289</w:t>
            </w:r>
          </w:p>
        </w:tc>
      </w:tr>
    </w:tbl>
    <w:p>
      <w:pPr>
        <w:pStyle w:val="8"/>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 w:name="Calibri">
    <w:panose1 w:val="020F0502020204030204"/>
    <w:charset w:val="86"/>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D458D6"/>
    <w:rsid w:val="03D458D6"/>
    <w:rsid w:val="04AE2A95"/>
    <w:rsid w:val="05576897"/>
    <w:rsid w:val="0A9B2E93"/>
    <w:rsid w:val="11D04C81"/>
    <w:rsid w:val="125F7E74"/>
    <w:rsid w:val="21561ACC"/>
    <w:rsid w:val="21E4560C"/>
    <w:rsid w:val="27366C7D"/>
    <w:rsid w:val="2CAE7795"/>
    <w:rsid w:val="34456EE2"/>
    <w:rsid w:val="34E82462"/>
    <w:rsid w:val="3EA95A2D"/>
    <w:rsid w:val="40E57E36"/>
    <w:rsid w:val="5E3A6E0E"/>
    <w:rsid w:val="63850B0C"/>
    <w:rsid w:val="68163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5">
    <w:name w:val="heading 1"/>
    <w:basedOn w:val="1"/>
    <w:next w:val="1"/>
    <w:qFormat/>
    <w:uiPriority w:val="0"/>
    <w:pPr>
      <w:spacing w:line="720" w:lineRule="auto"/>
      <w:ind w:left="0" w:right="0" w:firstLine="0" w:firstLineChars="0"/>
      <w:outlineLvl w:val="0"/>
    </w:pPr>
    <w:rPr>
      <w:rFonts w:ascii="宋体" w:hAnsi="宋体" w:cs="宋体"/>
      <w:b/>
      <w:bCs/>
      <w:sz w:val="30"/>
      <w:szCs w:val="44"/>
      <w:lang w:val="zh-CN" w:bidi="zh-CN"/>
    </w:rPr>
  </w:style>
  <w:style w:type="paragraph" w:styleId="6">
    <w:name w:val="heading 2"/>
    <w:basedOn w:val="1"/>
    <w:next w:val="1"/>
    <w:unhideWhenUsed/>
    <w:qFormat/>
    <w:uiPriority w:val="0"/>
    <w:pPr>
      <w:spacing w:line="360" w:lineRule="auto"/>
      <w:ind w:left="0" w:firstLine="0" w:firstLineChars="0"/>
      <w:outlineLvl w:val="1"/>
    </w:pPr>
    <w:rPr>
      <w:rFonts w:ascii="Microsoft JhengHei" w:hAnsi="Microsoft JhengHei" w:eastAsia="仿宋" w:cs="Microsoft JhengHei"/>
      <w:b/>
      <w:bCs/>
      <w:sz w:val="30"/>
      <w:szCs w:val="44"/>
      <w:lang w:val="zh-CN" w:bidi="zh-CN"/>
    </w:rPr>
  </w:style>
  <w:style w:type="paragraph" w:styleId="7">
    <w:name w:val="heading 3"/>
    <w:basedOn w:val="1"/>
    <w:next w:val="1"/>
    <w:semiHidden/>
    <w:unhideWhenUsed/>
    <w:qFormat/>
    <w:uiPriority w:val="0"/>
    <w:pPr>
      <w:ind w:left="0" w:firstLine="0" w:firstLineChars="0"/>
      <w:outlineLvl w:val="2"/>
    </w:pPr>
    <w:rPr>
      <w:rFonts w:ascii="Microsoft JhengHei" w:hAnsi="Microsoft JhengHei" w:cs="Microsoft JhengHei"/>
      <w:b/>
      <w:bCs/>
      <w:szCs w:val="36"/>
      <w:lang w:val="zh-CN" w:bidi="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420"/>
        <w:tab w:val="left" w:pos="870"/>
        <w:tab w:val="left" w:pos="3150"/>
      </w:tabs>
      <w:autoSpaceDE w:val="0"/>
      <w:autoSpaceDN w:val="0"/>
      <w:adjustRightInd w:val="0"/>
      <w:spacing w:beforeLines="25" w:after="0" w:line="336" w:lineRule="auto"/>
      <w:ind w:left="0" w:leftChars="0" w:firstLine="527"/>
      <w:textAlignment w:val="baseline"/>
    </w:pPr>
    <w:rPr>
      <w:rFonts w:ascii="宋体"/>
      <w:sz w:val="24"/>
      <w:szCs w:val="28"/>
    </w:rPr>
  </w:style>
  <w:style w:type="paragraph" w:styleId="3">
    <w:name w:val="Body Text Indent"/>
    <w:basedOn w:val="1"/>
    <w:next w:val="4"/>
    <w:qFormat/>
    <w:uiPriority w:val="0"/>
    <w:pPr>
      <w:spacing w:after="120"/>
      <w:ind w:left="420" w:leftChars="200"/>
    </w:pPr>
  </w:style>
  <w:style w:type="paragraph" w:customStyle="1" w:styleId="4">
    <w:name w:val="样式 正文文本缩进 + 行距: 1.5 倍行距"/>
    <w:basedOn w:val="3"/>
    <w:qFormat/>
    <w:uiPriority w:val="0"/>
    <w:pPr>
      <w:spacing w:line="360" w:lineRule="auto"/>
      <w:ind w:left="90" w:leftChars="32" w:firstLine="560"/>
    </w:pPr>
    <w:rPr>
      <w:rFonts w:cs="宋体"/>
      <w:szCs w:val="20"/>
    </w:rPr>
  </w:style>
  <w:style w:type="paragraph" w:styleId="8">
    <w:name w:val="Plain Text"/>
    <w:basedOn w:val="1"/>
    <w:qFormat/>
    <w:uiPriority w:val="0"/>
    <w:rPr>
      <w:rFonts w:ascii="宋体" w:hAnsi="Courier New"/>
    </w:rPr>
  </w:style>
  <w:style w:type="paragraph" w:customStyle="1" w:styleId="11">
    <w:name w:val="Table Paragraph"/>
    <w:basedOn w:val="1"/>
    <w:qFormat/>
    <w:uiPriority w:val="1"/>
    <w:pPr>
      <w:jc w:val="center"/>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2021-03-16T07:35:00Z</dcterms:created>
  <dc:creator>About Aimee's miracle</dc:creator>
  <cp:lastModifiedBy>About Aimee's miracle</cp:lastModifiedBy>
  <dcterms:modified xsi:type="dcterms:W3CDTF">2021-04-02T03:04:37Z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9D9141D6FCC145CF96B1B01EDFE9D527</vt:lpwstr>
  </property>
</Properties>
</file>